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1" w:rsidRDefault="005B1711" w:rsidP="005B1711">
      <w:pPr>
        <w:pageBreakBefore/>
        <w:ind w:left="-142"/>
        <w:rPr>
          <w:b/>
          <w:bCs/>
          <w:sz w:val="30"/>
          <w:szCs w:val="30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21.35pt" o:ole="">
            <v:imagedata r:id="rId5" o:title=""/>
          </v:shape>
          <o:OLEObject Type="Embed" ProgID="MSPhotoEd.3" ShapeID="_x0000_i1025" DrawAspect="Content" ObjectID="_1675061861" r:id="rId6"/>
        </w:object>
      </w:r>
    </w:p>
    <w:p w:rsidR="005B1711" w:rsidRDefault="00D22F73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 w:rsidRPr="00D22F73">
        <w:rPr>
          <w:b/>
          <w:bCs/>
          <w:noProof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2pt;margin-top:9.3pt;width:398.85pt;height:67.2pt;z-index:251660288" adj="10690" fillcolor="#938953 [1614]" strokecolor="#622423 [1605]" strokeweight="1pt">
            <v:shadow on="t" color="silver"/>
            <v:textpath style="font-family:&quot;Monotype Corsiva&quot;;font-size:28pt;font-weight:bold;v-text-kern:t" trim="t" fitpath="t" string="Arquà Petrarca &#10;in Battello sulla Riviera del Brenta"/>
          </v:shape>
        </w:pict>
      </w:r>
      <w:r w:rsidR="005B1711"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o</w:t>
      </w: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126623" cy="3229952"/>
            <wp:effectExtent l="19050" t="0" r="0" b="0"/>
            <wp:docPr id="3" name="Immagine 3" descr="La navigazione fluviale oggi - La Riviera del B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navigazione fluviale oggi - La Riviera del Br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88" cy="32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D22F73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 id="_x0000_s1027" type="#_x0000_t136" style="position:absolute;margin-left:-14pt;margin-top:3.2pt;width:425.7pt;height:72.05pt;z-index:251661312" fillcolor="#365f91" strokecolor="#002060">
            <v:shadow on="t" color="silver"/>
            <v:textpath style="font-family:&quot;Monotype Corsiva&quot;;font-weight:bold;v-text-kern:t" trim="t" fitpath="t" string=" 5 - 6 Giugno 2021&#10;   "/>
          </v:shape>
        </w:pict>
      </w: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Pr="00E268B3" w:rsidRDefault="005B1711" w:rsidP="005B1711"/>
    <w:p w:rsidR="00A73688" w:rsidRDefault="00A73688" w:rsidP="00A73688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20"/>
        </w:rPr>
        <w:t>(2 Giorni – 1 Notte )</w:t>
      </w:r>
    </w:p>
    <w:p w:rsidR="00A73688" w:rsidRDefault="00A73688" w:rsidP="00A73688">
      <w:pPr>
        <w:rPr>
          <w:lang w:eastAsia="zh-CN"/>
        </w:rPr>
      </w:pPr>
    </w:p>
    <w:p w:rsidR="00A73688" w:rsidRDefault="00A73688" w:rsidP="00A73688">
      <w:pPr>
        <w:rPr>
          <w:lang w:eastAsia="zh-CN"/>
        </w:rPr>
      </w:pPr>
    </w:p>
    <w:p w:rsidR="00A73688" w:rsidRPr="00A73688" w:rsidRDefault="00A73688" w:rsidP="00A73688">
      <w:pPr>
        <w:rPr>
          <w:lang w:eastAsia="zh-CN"/>
        </w:rPr>
      </w:pPr>
    </w:p>
    <w:p w:rsidR="005B1711" w:rsidRPr="00A73688" w:rsidRDefault="005B1711" w:rsidP="00A73688">
      <w:pPr>
        <w:pStyle w:val="Titolo2"/>
        <w:jc w:val="center"/>
        <w:rPr>
          <w:color w:val="333300"/>
          <w:sz w:val="56"/>
          <w:szCs w:val="56"/>
        </w:rPr>
      </w:pPr>
      <w:r w:rsidRPr="00A73688">
        <w:rPr>
          <w:color w:val="333300"/>
          <w:sz w:val="56"/>
          <w:szCs w:val="56"/>
        </w:rPr>
        <w:t xml:space="preserve">QUOTA INDIVIDUALE  </w:t>
      </w:r>
      <w:r w:rsidRPr="00A73688">
        <w:rPr>
          <w:rFonts w:hint="eastAsia"/>
          <w:color w:val="333300"/>
          <w:sz w:val="56"/>
          <w:szCs w:val="56"/>
        </w:rPr>
        <w:t xml:space="preserve">€ </w:t>
      </w:r>
      <w:r w:rsidRPr="00A73688">
        <w:rPr>
          <w:color w:val="333300"/>
          <w:sz w:val="56"/>
          <w:szCs w:val="56"/>
        </w:rPr>
        <w:t>325</w:t>
      </w:r>
    </w:p>
    <w:p w:rsidR="005B1711" w:rsidRDefault="005B1711" w:rsidP="005B1711"/>
    <w:p w:rsidR="005B1711" w:rsidRDefault="005B1711" w:rsidP="005B1711"/>
    <w:p w:rsidR="005B1711" w:rsidRPr="00380213" w:rsidRDefault="005B1711" w:rsidP="005B1711"/>
    <w:p w:rsidR="005B1711" w:rsidRPr="00B455C1" w:rsidRDefault="005B1711" w:rsidP="005B1711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Euro 40,00</w:t>
      </w:r>
    </w:p>
    <w:p w:rsidR="005B1711" w:rsidRPr="00B455C1" w:rsidRDefault="005B1711" w:rsidP="005B1711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5B1711" w:rsidRDefault="005B1711" w:rsidP="005B1711">
      <w:pPr>
        <w:jc w:val="both"/>
        <w:rPr>
          <w:rFonts w:ascii="Arial" w:eastAsia="Arial" w:hAnsi="Arial"/>
          <w:b/>
          <w:sz w:val="10"/>
          <w:szCs w:val="10"/>
        </w:rPr>
      </w:pPr>
    </w:p>
    <w:p w:rsidR="005B1711" w:rsidRDefault="005B1711" w:rsidP="005B1711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244061"/>
          <w:sz w:val="28"/>
        </w:rPr>
        <w:t>100,00</w:t>
      </w:r>
    </w:p>
    <w:p w:rsidR="005B1711" w:rsidRDefault="005B1711" w:rsidP="005B1711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5B1711" w:rsidRDefault="005B1711" w:rsidP="005B1711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4E26AD">
        <w:rPr>
          <w:rFonts w:ascii="Arial" w:hAnsi="Arial"/>
          <w:b/>
          <w:i/>
          <w:color w:val="800000"/>
          <w:sz w:val="28"/>
        </w:rPr>
        <w:t>02/05</w:t>
      </w:r>
      <w:r>
        <w:rPr>
          <w:rFonts w:ascii="Arial" w:hAnsi="Arial"/>
          <w:b/>
          <w:i/>
          <w:color w:val="800000"/>
          <w:sz w:val="28"/>
        </w:rPr>
        <w:t>/2021</w:t>
      </w:r>
    </w:p>
    <w:p w:rsidR="005B1711" w:rsidRPr="00E05919" w:rsidRDefault="005B1711" w:rsidP="005B1711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</w:t>
      </w:r>
      <w:proofErr w:type="spellStart"/>
      <w:r>
        <w:rPr>
          <w:rFonts w:ascii="Arial" w:hAnsi="Arial" w:cs="Arial"/>
          <w:b/>
          <w:shadow/>
          <w:color w:val="FF6600"/>
          <w:sz w:val="18"/>
          <w:szCs w:val="36"/>
        </w:rPr>
        <w:t>Tga</w:t>
      </w:r>
      <w:proofErr w:type="spellEnd"/>
      <w:r>
        <w:rPr>
          <w:rFonts w:ascii="Arial" w:hAnsi="Arial" w:cs="Arial"/>
          <w:b/>
          <w:shadow/>
          <w:color w:val="FF6600"/>
          <w:sz w:val="18"/>
          <w:szCs w:val="36"/>
        </w:rPr>
        <w:t xml:space="preserve"> Viaggi</w:t>
      </w:r>
    </w:p>
    <w:p w:rsidR="005B1711" w:rsidRDefault="005B1711" w:rsidP="005B1711">
      <w:pPr>
        <w:spacing w:after="240"/>
        <w:jc w:val="center"/>
        <w:rPr>
          <w:noProof/>
        </w:rPr>
      </w:pPr>
      <w:r w:rsidRPr="001E1E38">
        <w:rPr>
          <w:noProof/>
        </w:rPr>
        <w:t xml:space="preserve"> </w:t>
      </w: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  <w:b/>
            <w:bCs/>
          </w:rPr>
          <w:t>etsi@cislnovara.it</w:t>
        </w:r>
      </w:hyperlink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Pr="00892E23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</w:p>
    <w:p w:rsidR="005B1711" w:rsidRPr="00892E23" w:rsidRDefault="004E26AD" w:rsidP="001F12A5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892E23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1° Giorno – Sabato 5 Giugno - </w:t>
      </w:r>
      <w:r w:rsidR="005B1711" w:rsidRPr="00892E23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ARQUA’ PETRARCA</w:t>
      </w:r>
    </w:p>
    <w:p w:rsidR="005B1711" w:rsidRDefault="004E26AD" w:rsidP="001F12A5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Ritrovo dei partecipanti nei luoghi convenuti </w:t>
      </w:r>
      <w:r w:rsidR="005B1711">
        <w:rPr>
          <w:rFonts w:ascii="Tahoma" w:hAnsi="Tahoma" w:cs="Tahoma"/>
          <w:color w:val="002060"/>
          <w:sz w:val="22"/>
          <w:szCs w:val="22"/>
          <w:lang w:eastAsia="en-US"/>
        </w:rPr>
        <w:t xml:space="preserve">e partenza per </w:t>
      </w:r>
      <w:proofErr w:type="spellStart"/>
      <w:r w:rsidR="005B1711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Arqua</w:t>
      </w:r>
      <w:proofErr w:type="spellEnd"/>
      <w:r w:rsidR="005B1711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’ Petrarca</w:t>
      </w:r>
      <w:r w:rsidR="005B1711">
        <w:rPr>
          <w:rFonts w:ascii="Tahoma" w:hAnsi="Tahoma" w:cs="Tahoma"/>
          <w:color w:val="002060"/>
          <w:sz w:val="22"/>
          <w:szCs w:val="22"/>
          <w:lang w:eastAsia="en-US"/>
        </w:rPr>
        <w:t>.</w:t>
      </w:r>
    </w:p>
    <w:p w:rsidR="005B1711" w:rsidRDefault="005B1711" w:rsidP="001F12A5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Pranzo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ristorante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. Nel pomeriggio visita con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proofErr w:type="spellStart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Arquà</w:t>
      </w:r>
      <w:proofErr w:type="spellEnd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Petrarca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, piccolo paese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892E23"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87630</wp:posOffset>
            </wp:positionV>
            <wp:extent cx="1551940" cy="1028700"/>
            <wp:effectExtent l="19050" t="0" r="0" b="0"/>
            <wp:wrapSquare wrapText="bothSides"/>
            <wp:docPr id="6" name="Immagine 6" descr="Arqua Petrarca - Colli Eugan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qua Petrarca - Colli Eugan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2060"/>
          <w:sz w:val="22"/>
          <w:szCs w:val="22"/>
          <w:lang w:eastAsia="en-US"/>
        </w:rPr>
        <w:t>medievale che conserva immutato il fascino di un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tempo ed è considerato la perla dei Colli Euganei.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Abitato fin dai empi romani, acquistò importanza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dopo che Francesco Petrarca, sommo poeta della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lingua italiana, desiderò trascorrere gli ultimi anni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della sua vita nella caratteristica serena quiete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del luogo. Il paese ne conserva la casa e la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tomba con le spoglie. Per chi lo desidera è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possibile visitare la casa del Petrarca (ingresso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fuori quota).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Degustazione del famoso</w:t>
      </w:r>
      <w:r w:rsidR="001F12A5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“Brodo di Giuggiole”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un liquore dolce a base di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giuggiole, antichi frutti che i romani importarono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dalla Siria. Al termine 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t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rasferimento verso Terme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Euganee o dintorni, arrivo in hotel, sistemazione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nelle camere, cena e pernottamento.</w:t>
      </w:r>
    </w:p>
    <w:p w:rsidR="005B1711" w:rsidRDefault="005B1711" w:rsidP="001F12A5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2° giorno</w:t>
      </w:r>
    </w:p>
    <w:p w:rsidR="005B1711" w:rsidRPr="00892E23" w:rsidRDefault="004E26AD" w:rsidP="001F12A5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lang w:eastAsia="en-US"/>
        </w:rPr>
      </w:pPr>
      <w:r w:rsidRPr="00892E23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lang w:eastAsia="en-US"/>
        </w:rPr>
        <w:t xml:space="preserve">2° Giorno -  Domenica 6 Giugno: </w:t>
      </w:r>
      <w:r w:rsidR="005B1711" w:rsidRPr="00892E23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lang w:eastAsia="en-US"/>
        </w:rPr>
        <w:t>NAVIGAZIONE DEL BRENTA</w:t>
      </w:r>
    </w:p>
    <w:p w:rsidR="005B1711" w:rsidRDefault="005B1711" w:rsidP="001F12A5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colazione in hotel. Partenza per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l’escursione in battello di giornata interna</w:t>
      </w:r>
    </w:p>
    <w:p w:rsidR="005B1711" w:rsidRDefault="005B1711" w:rsidP="001F12A5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con guida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lungo la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Riviera del Brenta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e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Le</w:t>
      </w:r>
      <w:r w:rsidR="004E26AD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Ville Venete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: la Riviera del Brenta è stata la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seconda casa dei veneziani un prolungamento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ideale del Canal Grande. A bordo avrete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l’esclusiva 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>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pportunità di ripercorrere questo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sfarzoso percorso, caro non solo alla nobiltà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veneziana ma anche ai più famosi artisti e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personaggi dei secoli scorsi. Tre chiuse, dieci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ponti apribili, trentatré chilometri con oltre otto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metri di dislivello caratterizzano al massimo un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percorso così ricco di arte, cultura, natura e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storia del Veneto che vi porterà ad ammirare ville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famose come Villa Pisani, Villa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Barchessa</w:t>
      </w:r>
      <w:proofErr w:type="spellEnd"/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Valmarana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, Villa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Widmann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e Villa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Foscari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“La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Malcontenta” (ingressi fuori quota). Incontro con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il personale del Battello a Villa Pisani 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Strà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alle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ore 08.45 e visita facoltativa della Villa, al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termine inizio della navigazione e sosta a Dolo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con passeggiata nel caratteristico paesino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rivierasco. La cucina di bordo vi preparerà il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pranzo con menù di pesce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secondo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tradizionali ricette venete: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Aperitivo Bellini alla</w:t>
      </w:r>
      <w:r w:rsidR="001F12A5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frutta, Antipasto Alici marinate, Gamberi al</w:t>
      </w:r>
      <w:r w:rsidR="004E26AD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vapore e Sarde in </w:t>
      </w:r>
      <w:proofErr w:type="spellStart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Saor</w:t>
      </w:r>
      <w:proofErr w:type="spellEnd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alla Veneziana,</w:t>
      </w:r>
      <w:r w:rsidR="001F12A5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Primo Pasta alla Marinara, Secondo Fritti</w:t>
      </w:r>
      <w:r w:rsidR="004E26AD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misti di Pesce, Contorno Verdure miste di</w:t>
      </w:r>
      <w:r w:rsidR="001F12A5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proofErr w:type="spellStart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st</w:t>
      </w:r>
      <w:r w:rsidR="004E26AD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Accomo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agione</w:t>
      </w:r>
      <w:proofErr w:type="spellEnd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, Bevande Vino a Acqua a volontà,</w:t>
      </w:r>
      <w:r w:rsidR="004E26AD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Frutta, Caffè, Grappa.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Dopo il pranzo, a  seconda della disponibilità dei siti, seguirà la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visita di Villa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Barchessa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Valmarana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custode di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pitture della scuola Barocca Veneziana oppure di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Villa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Widmann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>. Risaliti a bordo proseguimento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per la località Malcontenta, visita alla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meravigliosa Villa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Foscari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“La Malcontenta”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progettata nel 1560 da Andrea Palladio, con le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pareti interne interamente affrescate da</w:t>
      </w:r>
      <w:r w:rsidR="001F12A5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Giambattista Franco e Giovanni Battista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Zelotti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>.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Incontro con pullman e partenza per il rientro</w:t>
      </w:r>
    </w:p>
    <w:p w:rsidR="005B1711" w:rsidRDefault="005B1711" w:rsidP="001F12A5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alla località di provenienza con arrivo previsto</w:t>
      </w:r>
      <w:r w:rsidR="004E26AD">
        <w:rPr>
          <w:rFonts w:ascii="Tahoma" w:hAnsi="Tahoma" w:cs="Tahoma"/>
          <w:color w:val="002060"/>
          <w:sz w:val="22"/>
          <w:szCs w:val="22"/>
          <w:lang w:eastAsia="en-US"/>
        </w:rPr>
        <w:t xml:space="preserve"> in serata.</w:t>
      </w:r>
    </w:p>
    <w:p w:rsidR="004E26AD" w:rsidRDefault="004E26AD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 w:rsidRPr="001F12A5"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LA QUOTA COMPRENDE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Cs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b/>
          <w:color w:val="002060"/>
          <w:sz w:val="16"/>
          <w:szCs w:val="16"/>
          <w:lang w:eastAsia="en-US"/>
        </w:rPr>
        <w:t></w:t>
      </w:r>
      <w:r w:rsidRPr="001F12A5">
        <w:rPr>
          <w:rFonts w:ascii="Tahoma,Bold" w:hAnsi="Tahoma,Bold" w:cs="Tahoma,Bold"/>
          <w:bCs/>
          <w:color w:val="002060"/>
          <w:sz w:val="16"/>
          <w:szCs w:val="16"/>
          <w:lang w:eastAsia="en-US"/>
        </w:rPr>
        <w:t>Pullman come da programma</w:t>
      </w:r>
    </w:p>
    <w:p w:rsidR="004E26AD" w:rsidRPr="001F12A5" w:rsidRDefault="004E26AD" w:rsidP="005B1711">
      <w:pPr>
        <w:autoSpaceDE w:val="0"/>
        <w:autoSpaceDN w:val="0"/>
        <w:adjustRightInd w:val="0"/>
        <w:rPr>
          <w:rFonts w:ascii="Tahoma" w:hAnsi="Tahoma" w:cs="Tahoma"/>
          <w:bCs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Accompagnatore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Sistemazione in hotel 3*** ad Abano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Terme/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Montegrotto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Terme o dintorni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Trattamento di pensione completa con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bevande (¼ di vino e ½ acqua) dal pranzo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del primo giorno al pranzo dell’ultimo giorno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1 pranzo in ristorante con bevande il primo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giorno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1 visita guidata a: 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Arquà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Petrarca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1 degustazione di “Brodo di Giuggiole”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1 escursione di intera giornata in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motonave lungo la Riviera del Brenta con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guida e pranzo a bordo a base di pesce con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bevande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Assicurazione medico bagaglio e 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Covid</w:t>
      </w:r>
      <w:proofErr w:type="spellEnd"/>
    </w:p>
    <w:p w:rsidR="005B1711" w:rsidRPr="001F12A5" w:rsidRDefault="005B1711" w:rsidP="004E26AD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 w:rsidRPr="001F12A5"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LA QUOTA NON COMPRENDE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Ingressi ed extra personali e tutto quanto non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espressamente indicato in “La Quota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Comprende” anche quando la visita si svolge</w:t>
      </w:r>
      <w:r w:rsidR="004E26AD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da programma all’interno di siti che prevedono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l’ingresso a pagamento (prezzi a</w:t>
      </w:r>
      <w:r w:rsidR="0016292B"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persona da riconfermare per il 2021):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Casa di Francesco Petrarca ad 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Arquà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eu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ro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2,00 da pagare in loco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Pisani a </w:t>
      </w:r>
      <w:proofErr w:type="spellStart"/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>Stra</w:t>
      </w:r>
      <w:proofErr w:type="spellEnd"/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r w:rsidR="00A95436">
        <w:rPr>
          <w:rFonts w:ascii="Tahoma" w:hAnsi="Tahoma" w:cs="Tahoma"/>
          <w:color w:val="002060"/>
          <w:sz w:val="16"/>
          <w:szCs w:val="16"/>
          <w:lang w:eastAsia="en-US"/>
        </w:rPr>
        <w:t>Euro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11,00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Widmann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: 6,00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>Barchessa</w:t>
      </w:r>
      <w:proofErr w:type="spellEnd"/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proofErr w:type="spellStart"/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>Valmarana</w:t>
      </w:r>
      <w:proofErr w:type="spellEnd"/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6,00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1F12A5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Foscari</w:t>
      </w:r>
      <w:proofErr w:type="spellEnd"/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“Malcontenta”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10,00</w:t>
      </w:r>
      <w:r w:rsidR="001F12A5">
        <w:rPr>
          <w:rFonts w:ascii="Tahoma" w:hAnsi="Tahoma" w:cs="Tahoma"/>
          <w:color w:val="002060"/>
          <w:sz w:val="16"/>
          <w:szCs w:val="16"/>
          <w:lang w:eastAsia="en-US"/>
        </w:rPr>
        <w:t xml:space="preserve"> / </w:t>
      </w:r>
      <w:r w:rsidR="001F12A5" w:rsidRPr="001F12A5">
        <w:rPr>
          <w:rFonts w:ascii="Tahoma" w:hAnsi="Tahoma" w:cs="Tahoma"/>
          <w:color w:val="943634" w:themeColor="accent2" w:themeShade="BF"/>
          <w:sz w:val="16"/>
          <w:szCs w:val="16"/>
          <w:lang w:eastAsia="en-US"/>
        </w:rPr>
        <w:t>l’ingresso alle Ville è facoltativo</w:t>
      </w:r>
    </w:p>
    <w:p w:rsidR="005B1711" w:rsidRPr="001F12A5" w:rsidRDefault="005B1711" w:rsidP="005B1711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1F12A5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1F12A5">
        <w:rPr>
          <w:rFonts w:ascii="Tahoma" w:hAnsi="Tahoma" w:cs="Tahoma"/>
          <w:color w:val="002060"/>
          <w:sz w:val="16"/>
          <w:szCs w:val="16"/>
          <w:lang w:eastAsia="en-US"/>
        </w:rPr>
        <w:t>Imposta di soggiorno da pagare in Hotel.</w:t>
      </w:r>
    </w:p>
    <w:sectPr w:rsidR="005B1711" w:rsidRPr="001F12A5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B33AED"/>
    <w:multiLevelType w:val="hybridMultilevel"/>
    <w:tmpl w:val="7780C3EA"/>
    <w:lvl w:ilvl="0" w:tplc="156633AA">
      <w:start w:val="2"/>
      <w:numFmt w:val="decimal"/>
      <w:lvlText w:val="%1"/>
      <w:lvlJc w:val="left"/>
      <w:pPr>
        <w:ind w:left="4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40" w:hanging="360"/>
      </w:pPr>
    </w:lvl>
    <w:lvl w:ilvl="2" w:tplc="0410001B" w:tentative="1">
      <w:start w:val="1"/>
      <w:numFmt w:val="lowerRoman"/>
      <w:lvlText w:val="%3."/>
      <w:lvlJc w:val="right"/>
      <w:pPr>
        <w:ind w:left="6060" w:hanging="180"/>
      </w:pPr>
    </w:lvl>
    <w:lvl w:ilvl="3" w:tplc="0410000F" w:tentative="1">
      <w:start w:val="1"/>
      <w:numFmt w:val="decimal"/>
      <w:lvlText w:val="%4."/>
      <w:lvlJc w:val="left"/>
      <w:pPr>
        <w:ind w:left="6780" w:hanging="360"/>
      </w:pPr>
    </w:lvl>
    <w:lvl w:ilvl="4" w:tplc="04100019" w:tentative="1">
      <w:start w:val="1"/>
      <w:numFmt w:val="lowerLetter"/>
      <w:lvlText w:val="%5."/>
      <w:lvlJc w:val="left"/>
      <w:pPr>
        <w:ind w:left="7500" w:hanging="360"/>
      </w:pPr>
    </w:lvl>
    <w:lvl w:ilvl="5" w:tplc="0410001B" w:tentative="1">
      <w:start w:val="1"/>
      <w:numFmt w:val="lowerRoman"/>
      <w:lvlText w:val="%6."/>
      <w:lvlJc w:val="right"/>
      <w:pPr>
        <w:ind w:left="8220" w:hanging="180"/>
      </w:pPr>
    </w:lvl>
    <w:lvl w:ilvl="6" w:tplc="0410000F" w:tentative="1">
      <w:start w:val="1"/>
      <w:numFmt w:val="decimal"/>
      <w:lvlText w:val="%7."/>
      <w:lvlJc w:val="left"/>
      <w:pPr>
        <w:ind w:left="8940" w:hanging="360"/>
      </w:pPr>
    </w:lvl>
    <w:lvl w:ilvl="7" w:tplc="04100019" w:tentative="1">
      <w:start w:val="1"/>
      <w:numFmt w:val="lowerLetter"/>
      <w:lvlText w:val="%8."/>
      <w:lvlJc w:val="left"/>
      <w:pPr>
        <w:ind w:left="9660" w:hanging="360"/>
      </w:pPr>
    </w:lvl>
    <w:lvl w:ilvl="8" w:tplc="0410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>
    <w:nsid w:val="61414D58"/>
    <w:multiLevelType w:val="hybridMultilevel"/>
    <w:tmpl w:val="3550B60E"/>
    <w:lvl w:ilvl="0" w:tplc="5FD871A4">
      <w:start w:val="2"/>
      <w:numFmt w:val="decimal"/>
      <w:lvlText w:val="(%1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5B1711"/>
    <w:rsid w:val="0016292B"/>
    <w:rsid w:val="001F12A5"/>
    <w:rsid w:val="004E26AD"/>
    <w:rsid w:val="005B1711"/>
    <w:rsid w:val="005D2BD6"/>
    <w:rsid w:val="00867F94"/>
    <w:rsid w:val="00892E23"/>
    <w:rsid w:val="00985728"/>
    <w:rsid w:val="00A51A75"/>
    <w:rsid w:val="00A73688"/>
    <w:rsid w:val="00A95436"/>
    <w:rsid w:val="00D22F73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4]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171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B17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rsid w:val="005B1711"/>
    <w:rPr>
      <w:color w:val="0000FF"/>
      <w:u w:val="single"/>
    </w:rPr>
  </w:style>
  <w:style w:type="paragraph" w:customStyle="1" w:styleId="Rigadintestazione">
    <w:name w:val="Riga d'intestazione"/>
    <w:basedOn w:val="Normale"/>
    <w:rsid w:val="005B1711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71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2020-11-24T07:54:00Z</dcterms:created>
  <dcterms:modified xsi:type="dcterms:W3CDTF">2021-02-17T09:11:00Z</dcterms:modified>
</cp:coreProperties>
</file>