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12" w:rsidRDefault="00766812" w:rsidP="00766812">
      <w:pPr>
        <w:pageBreakBefore/>
        <w:ind w:left="-142"/>
        <w:rPr>
          <w:b/>
          <w:bCs/>
          <w:sz w:val="30"/>
          <w:szCs w:val="30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21.35pt" o:ole="">
            <v:imagedata r:id="rId5" o:title=""/>
          </v:shape>
          <o:OLEObject Type="Embed" ProgID="MSPhotoEd.3" ShapeID="_x0000_i1025" DrawAspect="Content" ObjectID="_1667636455" r:id="rId6"/>
        </w:object>
      </w:r>
    </w:p>
    <w:p w:rsidR="00141EDC" w:rsidRDefault="00766812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</w:pPr>
      <w:r w:rsidRPr="00B813FF">
        <w:rPr>
          <w:b/>
          <w:bCs/>
          <w:noProof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8.55pt;margin-top:10.95pt;width:331.55pt;height:67.2pt;z-index:251658240" adj="10690" fillcolor="#974706" strokecolor="#0070c0" strokeweight="1pt">
            <v:shadow on="t" color="silver"/>
            <v:textpath style="font-family:&quot;Monotype Corsiva&quot;;font-size:28pt;font-weight:bold;v-text-kern:t" trim="t" fitpath="t" string="Ferrara e il delta del Po&#10;"/>
          </v:shape>
        </w:pict>
      </w:r>
      <w:r w:rsidR="00141EDC"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o</w:t>
      </w: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766812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3854112" cy="2168992"/>
            <wp:effectExtent l="19050" t="0" r="0" b="0"/>
            <wp:docPr id="7" name="Immagine 7" descr="DELTA DEL PO un' oasi da scoprir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LTA DEL PO un' oasi da scoprire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71" cy="216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766812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noProof/>
          <w:color w:val="002060"/>
          <w:sz w:val="22"/>
          <w:szCs w:val="22"/>
        </w:rPr>
        <w:pict>
          <v:shape id="_x0000_s1028" type="#_x0000_t136" style="position:absolute;margin-left:-21.35pt;margin-top:8.6pt;width:372pt;height:72.05pt;z-index:251659264" fillcolor="#365f91" strokecolor="#002060">
            <v:shadow on="t" color="silver"/>
            <v:textpath style="font-family:&quot;Monotype Corsiva&quot;;font-weight:bold;v-text-kern:t" trim="t" fitpath="t" string=" 22 - 23 Maggio 2021&#10;   "/>
          </v:shape>
        </w:pict>
      </w: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766812" w:rsidRDefault="00766812" w:rsidP="0076681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</w:p>
    <w:p w:rsidR="00766812" w:rsidRPr="00E268B3" w:rsidRDefault="00766812" w:rsidP="00766812"/>
    <w:p w:rsidR="00766812" w:rsidRDefault="00766812" w:rsidP="00766812">
      <w:pPr>
        <w:pStyle w:val="Titolo2"/>
        <w:jc w:val="center"/>
        <w:rPr>
          <w:color w:val="333300"/>
          <w:sz w:val="56"/>
        </w:rPr>
      </w:pPr>
      <w:r w:rsidRPr="003C1BD9">
        <w:rPr>
          <w:color w:val="333300"/>
          <w:sz w:val="56"/>
        </w:rPr>
        <w:t>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>
        <w:rPr>
          <w:color w:val="333300"/>
          <w:sz w:val="56"/>
        </w:rPr>
        <w:t>280</w:t>
      </w:r>
    </w:p>
    <w:p w:rsidR="00766812" w:rsidRDefault="00766812" w:rsidP="00766812"/>
    <w:p w:rsidR="00766812" w:rsidRDefault="00766812" w:rsidP="00766812"/>
    <w:p w:rsidR="00766812" w:rsidRPr="00380213" w:rsidRDefault="00766812" w:rsidP="00766812"/>
    <w:p w:rsidR="00766812" w:rsidRPr="00B455C1" w:rsidRDefault="00766812" w:rsidP="00766812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>UPPLEMENTO CAMERA SINGOLA Euro 45,00</w:t>
      </w:r>
    </w:p>
    <w:p w:rsidR="00766812" w:rsidRPr="00B455C1" w:rsidRDefault="00766812" w:rsidP="00766812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766812" w:rsidRDefault="00766812" w:rsidP="00766812">
      <w:pPr>
        <w:jc w:val="both"/>
        <w:rPr>
          <w:rFonts w:ascii="Arial" w:eastAsia="Arial" w:hAnsi="Arial"/>
          <w:b/>
          <w:sz w:val="10"/>
          <w:szCs w:val="10"/>
        </w:rPr>
      </w:pPr>
    </w:p>
    <w:p w:rsidR="00766812" w:rsidRDefault="00766812" w:rsidP="00766812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>
        <w:rPr>
          <w:rFonts w:ascii="Arial" w:hAnsi="Arial"/>
          <w:b/>
          <w:i/>
          <w:color w:val="244061"/>
          <w:sz w:val="28"/>
        </w:rPr>
        <w:t>85,00</w:t>
      </w:r>
    </w:p>
    <w:p w:rsidR="00766812" w:rsidRDefault="00766812" w:rsidP="0076681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766812" w:rsidRDefault="00BA4743" w:rsidP="0076681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>Saldo Entro il 22/04</w:t>
      </w:r>
      <w:r w:rsidR="00766812">
        <w:rPr>
          <w:rFonts w:ascii="Arial" w:hAnsi="Arial"/>
          <w:b/>
          <w:i/>
          <w:color w:val="800000"/>
          <w:sz w:val="28"/>
        </w:rPr>
        <w:t>/2021</w:t>
      </w:r>
    </w:p>
    <w:p w:rsidR="00766812" w:rsidRDefault="00766812" w:rsidP="0076681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766812" w:rsidRPr="00E05919" w:rsidRDefault="00766812" w:rsidP="00766812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Agenzia </w:t>
      </w:r>
      <w:proofErr w:type="spellStart"/>
      <w:r w:rsidR="00BA4743">
        <w:rPr>
          <w:rFonts w:ascii="Arial" w:hAnsi="Arial" w:cs="Arial"/>
          <w:b/>
          <w:shadow/>
          <w:color w:val="FF6600"/>
          <w:sz w:val="18"/>
          <w:szCs w:val="36"/>
        </w:rPr>
        <w:t>Tga</w:t>
      </w:r>
      <w:proofErr w:type="spellEnd"/>
      <w:r w:rsidR="00BA4743">
        <w:rPr>
          <w:rFonts w:ascii="Arial" w:hAnsi="Arial" w:cs="Arial"/>
          <w:b/>
          <w:shadow/>
          <w:color w:val="FF6600"/>
          <w:sz w:val="18"/>
          <w:szCs w:val="36"/>
        </w:rPr>
        <w:t xml:space="preserve"> Viaggi</w:t>
      </w:r>
    </w:p>
    <w:p w:rsidR="00766812" w:rsidRDefault="00766812" w:rsidP="0076681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766812" w:rsidRDefault="00766812" w:rsidP="00766812">
      <w:pPr>
        <w:spacing w:after="240"/>
        <w:jc w:val="center"/>
        <w:rPr>
          <w:noProof/>
        </w:rPr>
      </w:pPr>
      <w:r w:rsidRPr="001E1E38">
        <w:rPr>
          <w:noProof/>
        </w:rPr>
        <w:t xml:space="preserve"> </w:t>
      </w:r>
    </w:p>
    <w:p w:rsidR="00141EDC" w:rsidRDefault="00766812" w:rsidP="00766812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8" w:history="1">
        <w:r>
          <w:rPr>
            <w:rStyle w:val="Collegamentoipertestuale"/>
            <w:b/>
            <w:bCs/>
          </w:rPr>
          <w:t>etsi@cislnovara.it</w:t>
        </w:r>
      </w:hyperlink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Pr="00BA7457" w:rsidRDefault="00BA7457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BA745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1° Giorno – Sabato 22 Maggio : </w:t>
      </w:r>
      <w:r w:rsidR="00141EDC" w:rsidRPr="00BA745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FERRARA</w:t>
      </w:r>
    </w:p>
    <w:p w:rsidR="00141EDC" w:rsidRDefault="0060482D" w:rsidP="007E415F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255905</wp:posOffset>
            </wp:positionV>
            <wp:extent cx="1812925" cy="1209675"/>
            <wp:effectExtent l="19050" t="0" r="0" b="0"/>
            <wp:wrapSquare wrapText="bothSides"/>
            <wp:docPr id="10" name="Immagine 10" descr="Viaggi di gruppo - Offerte Weekend in Italia | Nel cuore di Ferr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aggi di gruppo - Offerte Weekend in Italia | Nel cuore di Ferra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Ritrovo dei partecipanti nel luogo convenuto e partenza per Ferrara. Arrivo per il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pranzo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in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ristorante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. Nel pomeriggio visita con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guida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di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Ferrara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, città da vivere passeggiando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per le sue strade, scoprendo in ogni angolo il suo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carattere di magnifica capitale del Rinascimento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e cogliendo da questo glorioso passato le ragioni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del suo presente. Città d'acqua, disegnata nei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secoli dal Po, Ferrara resta legata al suo fiume,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nel disegno delle strade come nel moderno porto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turistico realizzato alla Darsena di San Paolo,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oppure nel reticolo di canali che la circondano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fino al Mare Adriatico, là dove si estende il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grande Parco del Delta. Un'atmosfera speciale si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può cogliere nel centro, fra negozi e caffè, dove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il ritmo della vita sembra dettato dal passaggio di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centinaia di biciclette. Patrimonio dell'UNESCO è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il Castello Estense eretto nel XIV secolo, da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vedere anche la Cattedrale di san Giorgio,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dedicata al patrono della città; il Palazzo dei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Diamanti, edificato nel 1492, è celebre per la sua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particolarissima facciata a "punta di diamante”.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Al termine trasferimento in hotel, sistemazione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nelle camere riservate, cena e pernottamento.</w:t>
      </w:r>
    </w:p>
    <w:p w:rsidR="00141EDC" w:rsidRDefault="00141EDC" w:rsidP="007E415F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</w:pPr>
      <w:r>
        <w:rPr>
          <w:rFonts w:ascii="Tahoma,Bold" w:hAnsi="Tahoma,Bold" w:cs="Tahoma,Bold"/>
          <w:b/>
          <w:bCs/>
          <w:color w:val="FFFFFF"/>
          <w:sz w:val="22"/>
          <w:szCs w:val="22"/>
          <w:lang w:eastAsia="en-US"/>
        </w:rPr>
        <w:t>2° giorno</w:t>
      </w:r>
    </w:p>
    <w:p w:rsidR="00141EDC" w:rsidRPr="00BA7457" w:rsidRDefault="00BA7457" w:rsidP="007E415F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</w:pPr>
      <w:r w:rsidRPr="00BA745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 xml:space="preserve">2° Giorno – Domenica 23 Maggio : </w:t>
      </w:r>
      <w:r w:rsidR="00141EDC" w:rsidRPr="00BA7457">
        <w:rPr>
          <w:rFonts w:ascii="Tahoma,Bold" w:hAnsi="Tahoma,Bold" w:cs="Tahoma,Bold"/>
          <w:b/>
          <w:bCs/>
          <w:color w:val="943634" w:themeColor="accent2" w:themeShade="BF"/>
          <w:sz w:val="22"/>
          <w:szCs w:val="22"/>
          <w:u w:val="single"/>
          <w:lang w:eastAsia="en-US"/>
        </w:rPr>
        <w:t>MINICROCIERA DELTA DEL PO</w:t>
      </w:r>
    </w:p>
    <w:p w:rsidR="00141EDC" w:rsidRDefault="00141EDC" w:rsidP="007E415F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Prima colazione in hotel e trasferimento al punto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di imbarco presso Porto Garibaldi (Fe). Salita a</w:t>
      </w:r>
    </w:p>
    <w:p w:rsidR="00141EDC" w:rsidRDefault="00141EDC" w:rsidP="007E415F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bordo della motonave per trascorrere una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>giornata nel Parco Naturale del Delta del Po. La</w:t>
      </w:r>
    </w:p>
    <w:p w:rsidR="00141EDC" w:rsidRDefault="008C0711" w:rsidP="007E415F">
      <w:pPr>
        <w:autoSpaceDE w:val="0"/>
        <w:autoSpaceDN w:val="0"/>
        <w:adjustRightInd w:val="0"/>
        <w:jc w:val="both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noProof/>
          <w:color w:val="00206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227330</wp:posOffset>
            </wp:positionV>
            <wp:extent cx="1346200" cy="1063625"/>
            <wp:effectExtent l="19050" t="0" r="6350" b="0"/>
            <wp:wrapSquare wrapText="bothSides"/>
            <wp:docPr id="13" name="Immagine 13" descr="Una gita sul Po con pranzo a bo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a gita sul Po con pranzo a bor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lenta navigazione dà la possibilità di immergersi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nella verde vegetazione palustre dei canneti 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delle tamerici, nel regno incontrastato della flora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e della fauna. Tra scanni e isolotti, svariate sono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le specie che popolano il delta tra cui Aironi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Cenerini e Aironi Rossi, Poiane, Falchi e Cavalieri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d’Italia. La Navigazione prevede la risalita della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costa adriatica sino al delta del fiume, per una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sosta sulla spiaggia dell’isola dell’Amore, l’ultimo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lembo di terra che separa il fiume dal mare. A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seguire, navigazione lungo i rami del Po di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Goro</w:t>
      </w:r>
      <w:proofErr w:type="spellEnd"/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e del Po di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Gnocca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. Durante la navigazione il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comandante illustrerà l’itinerario e le tappe del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percorso, dando informazioni su flora e fauna del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Parco.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Pranzo a bordo con menù di pesce</w:t>
      </w:r>
      <w:r w:rsidR="00BA7457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con tradizionali ricette venete: </w:t>
      </w:r>
      <w:r w:rsidR="00141EDC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>primo di</w:t>
      </w:r>
      <w:r w:rsidR="0060482D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>pesce, fritto misto con contorno di</w:t>
      </w:r>
      <w:r w:rsidR="00BA7457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 xml:space="preserve"> </w:t>
      </w:r>
      <w:r w:rsidR="00141EDC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>patatine, dolce, pane, acqua e vino bianco.</w:t>
      </w:r>
      <w:r w:rsidR="0060482D">
        <w:rPr>
          <w:rFonts w:ascii="Tahoma,Bold" w:hAnsi="Tahoma,Bold" w:cs="Tahoma,Bold"/>
          <w:b/>
          <w:bCs/>
          <w:color w:val="002060"/>
          <w:sz w:val="23"/>
          <w:szCs w:val="23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Al termine visita libera all’</w:t>
      </w:r>
      <w:r w:rsidR="00141EDC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>Abbazia di Pomposa</w:t>
      </w:r>
      <w:r w:rsidR="00BA7457"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(ingresso fuori quota). Capolavoro dell'arte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romanica e bizantina che fu sede di una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seconda della disponibilità dei siti, seguirà la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visita di Villa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Barchessa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Valmarana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 custode di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pitture della scuola Barocca Veneziana oppure di</w:t>
      </w:r>
      <w:r w:rsidR="0060482D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Villa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Widmann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. Risaliti a bordo proseguimento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per la località Malcontenta, visita alla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meravigliosa Villa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Foscari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 “La Malcontenta”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progettata nel 1560 da Andrea Palladio, con le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pareti interne interamente affrescate da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 xml:space="preserve">Giambattista Franco e Giovanni Battista </w:t>
      </w:r>
      <w:proofErr w:type="spellStart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Zelotti</w:t>
      </w:r>
      <w:proofErr w:type="spellEnd"/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.</w:t>
      </w:r>
      <w:r>
        <w:rPr>
          <w:rFonts w:ascii="Tahoma" w:hAnsi="Tahoma" w:cs="Tahoma"/>
          <w:color w:val="002060"/>
          <w:sz w:val="22"/>
          <w:szCs w:val="22"/>
          <w:lang w:eastAsia="en-US"/>
        </w:rPr>
        <w:t xml:space="preserve"> Al termine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partenza per il rientro</w:t>
      </w:r>
      <w:r w:rsidR="00BA7457">
        <w:rPr>
          <w:rFonts w:ascii="Tahoma" w:hAnsi="Tahoma" w:cs="Tahoma"/>
          <w:color w:val="002060"/>
          <w:sz w:val="22"/>
          <w:szCs w:val="22"/>
          <w:lang w:eastAsia="en-US"/>
        </w:rPr>
        <w:t xml:space="preserve"> </w:t>
      </w:r>
      <w:r w:rsidR="00141EDC">
        <w:rPr>
          <w:rFonts w:ascii="Tahoma" w:hAnsi="Tahoma" w:cs="Tahoma"/>
          <w:color w:val="002060"/>
          <w:sz w:val="22"/>
          <w:szCs w:val="22"/>
          <w:lang w:eastAsia="en-US"/>
        </w:rPr>
        <w:t>alla località di provenienza con arrivo previsto</w:t>
      </w:r>
    </w:p>
    <w:p w:rsidR="00141EDC" w:rsidRDefault="00BA7457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22"/>
          <w:szCs w:val="22"/>
          <w:lang w:eastAsia="en-US"/>
        </w:rPr>
      </w:pPr>
      <w:r>
        <w:rPr>
          <w:rFonts w:ascii="Tahoma" w:hAnsi="Tahoma" w:cs="Tahoma"/>
          <w:color w:val="002060"/>
          <w:sz w:val="22"/>
          <w:szCs w:val="22"/>
          <w:lang w:eastAsia="en-US"/>
        </w:rPr>
        <w:t>In serata.</w:t>
      </w:r>
    </w:p>
    <w:p w:rsidR="00BA7457" w:rsidRDefault="00BA7457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22"/>
          <w:szCs w:val="22"/>
          <w:lang w:eastAsia="en-US"/>
        </w:rPr>
      </w:pPr>
    </w:p>
    <w:p w:rsidR="00141EDC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</w:pPr>
      <w:r w:rsidRPr="00BA7457"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  <w:t>LA QUOTA COMPRENDE</w:t>
      </w:r>
    </w:p>
    <w:p w:rsidR="00BA7457" w:rsidRPr="00BA7457" w:rsidRDefault="00BA7457" w:rsidP="00BA7457">
      <w:pPr>
        <w:pStyle w:val="Paragrafoelenco"/>
        <w:autoSpaceDE w:val="0"/>
        <w:autoSpaceDN w:val="0"/>
        <w:adjustRightInd w:val="0"/>
        <w:ind w:left="142"/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</w:pPr>
      <w:r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  <w:t>Accompagnatore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Cs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,Bold" w:hAnsi="Tahoma,Bold" w:cs="Tahoma,Bold"/>
          <w:bCs/>
          <w:color w:val="002060"/>
          <w:sz w:val="16"/>
          <w:szCs w:val="16"/>
          <w:lang w:eastAsia="en-US"/>
        </w:rPr>
        <w:t>Pullman come da programma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Sistemazione in hotel 3*** ad Abano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Terme/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Montegrotto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Terme o dintorni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Trattamento di pensione completa con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bevande (¼ di vino e ½ acqua) dal pranzo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del primo giorno al pranzo dell’ultimo giorno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 pranzo in ristorante con bevande il primo</w:t>
      </w:r>
      <w:r w:rsidR="00BA7457"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giorno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 visita guidata a: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Arquà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Petrarca</w:t>
      </w:r>
      <w:r w:rsidR="0060482D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 degustazione di “Brodo di Giuggiole”</w:t>
      </w:r>
      <w:r w:rsidR="0060482D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N°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 escursione di intera giornata in</w:t>
      </w:r>
      <w:r w:rsidR="00BA7457"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motonave lungo la Riviera del Brenta con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guida e pranzo a bordo a base di pesce con</w:t>
      </w:r>
      <w:r w:rsidR="00BA7457"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bevande</w:t>
      </w:r>
    </w:p>
    <w:p w:rsidR="00141EDC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Assicurazione medico bagaglio e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Covid</w:t>
      </w:r>
      <w:proofErr w:type="spellEnd"/>
    </w:p>
    <w:p w:rsidR="00BA7457" w:rsidRPr="00BA7457" w:rsidRDefault="00BA7457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</w:pPr>
      <w:r w:rsidRPr="00BA7457">
        <w:rPr>
          <w:rFonts w:ascii="Tahoma,Bold" w:hAnsi="Tahoma,Bold" w:cs="Tahoma,Bold"/>
          <w:b/>
          <w:bCs/>
          <w:color w:val="002060"/>
          <w:sz w:val="16"/>
          <w:szCs w:val="16"/>
          <w:lang w:eastAsia="en-US"/>
        </w:rPr>
        <w:t>LA QUOTA NON COMPRENDE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Ingressi ed extra personali e tutto quanto non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espressamente indicato in “La Quota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Comprende” anche quando la visita si svolge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da programma all’interno di siti che prevedono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l’ingresso a pagamento (prezzi a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persona da riconfermare per il 2021):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Casa di Francesco Petrarca ad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Arquà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eu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ro 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2,00 da pagare in loco</w:t>
      </w:r>
    </w:p>
    <w:p w:rsidR="00141EDC" w:rsidRPr="00BA7457" w:rsidRDefault="00141EDC" w:rsidP="00141EDC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  <w:lang w:eastAsia="en-US"/>
        </w:rPr>
      </w:pP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Pisani a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Stra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eu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11,00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="0060482D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Widmann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eu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6,00</w:t>
      </w:r>
      <w:r w:rsidR="0060482D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Barchessa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Valmarana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eu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6,00</w:t>
      </w:r>
    </w:p>
    <w:p w:rsidR="00141EDC" w:rsidRDefault="00141EDC" w:rsidP="00BA7457">
      <w:pPr>
        <w:autoSpaceDE w:val="0"/>
        <w:autoSpaceDN w:val="0"/>
        <w:adjustRightInd w:val="0"/>
      </w:pP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</w:t>
      </w:r>
      <w:r w:rsidRPr="00BA7457">
        <w:rPr>
          <w:rFonts w:ascii="Wingdings" w:hAnsi="Wingdings" w:cs="Wingdings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Villa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Foscari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“Malcontenta”: </w:t>
      </w:r>
      <w:proofErr w:type="spellStart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eu</w:t>
      </w:r>
      <w:proofErr w:type="spellEnd"/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10,00</w:t>
      </w:r>
      <w:r w:rsidR="00BA7457">
        <w:rPr>
          <w:rFonts w:ascii="Tahoma" w:hAnsi="Tahoma" w:cs="Tahoma"/>
          <w:color w:val="002060"/>
          <w:sz w:val="16"/>
          <w:szCs w:val="16"/>
          <w:lang w:eastAsia="en-US"/>
        </w:rPr>
        <w:t xml:space="preserve"> 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</w:t>
      </w:r>
      <w:r w:rsidRPr="00BA7457">
        <w:rPr>
          <w:rFonts w:ascii="Symbol" w:hAnsi="Symbol" w:cs="Symbol"/>
          <w:color w:val="002060"/>
          <w:sz w:val="16"/>
          <w:szCs w:val="16"/>
          <w:lang w:eastAsia="en-US"/>
        </w:rPr>
        <w:t></w:t>
      </w:r>
      <w:r w:rsidRPr="00BA7457">
        <w:rPr>
          <w:rFonts w:ascii="Tahoma" w:hAnsi="Tahoma" w:cs="Tahoma"/>
          <w:color w:val="002060"/>
          <w:sz w:val="16"/>
          <w:szCs w:val="16"/>
          <w:lang w:eastAsia="en-US"/>
        </w:rPr>
        <w:t>Imposta di soggiorno da pagare in Hotel.</w:t>
      </w:r>
    </w:p>
    <w:sectPr w:rsidR="00141EDC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B3097"/>
    <w:multiLevelType w:val="hybridMultilevel"/>
    <w:tmpl w:val="AE70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141EDC"/>
    <w:rsid w:val="00116365"/>
    <w:rsid w:val="00141EDC"/>
    <w:rsid w:val="001E6E1B"/>
    <w:rsid w:val="005D2BD6"/>
    <w:rsid w:val="0060482D"/>
    <w:rsid w:val="00766812"/>
    <w:rsid w:val="007E415F"/>
    <w:rsid w:val="008C0711"/>
    <w:rsid w:val="00985728"/>
    <w:rsid w:val="00A51A75"/>
    <w:rsid w:val="00BA4743"/>
    <w:rsid w:val="00BA7457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6681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76681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rsid w:val="00766812"/>
    <w:rPr>
      <w:color w:val="0000FF"/>
      <w:u w:val="single"/>
    </w:rPr>
  </w:style>
  <w:style w:type="paragraph" w:customStyle="1" w:styleId="Rigadintestazione">
    <w:name w:val="Riga d'intestazione"/>
    <w:basedOn w:val="Normale"/>
    <w:rsid w:val="00766812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8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81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2020-11-23T10:05:00Z</dcterms:created>
  <dcterms:modified xsi:type="dcterms:W3CDTF">2020-11-23T10:34:00Z</dcterms:modified>
</cp:coreProperties>
</file>